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rPr>
      </w:pPr>
      <w:r w:rsidDel="00000000" w:rsidR="00000000" w:rsidRPr="00000000">
        <w:rPr>
          <w:rFonts w:ascii="Calibri" w:cs="Calibri" w:eastAsia="Calibri" w:hAnsi="Calibri"/>
          <w:sz w:val="36"/>
          <w:szCs w:val="36"/>
          <w:rtl w:val="0"/>
        </w:rPr>
        <w:t xml:space="preserve">YUKON POSTING REQUIREMENTS</w:t>
      </w:r>
      <w:r w:rsidDel="00000000" w:rsidR="00000000" w:rsidRPr="00000000">
        <w:rPr>
          <w:rFonts w:ascii="Calibri" w:cs="Calibri" w:eastAsia="Calibri" w:hAnsi="Calibri"/>
          <w:rtl w:val="0"/>
        </w:rPr>
        <w:br w:type="textWrapping"/>
      </w:r>
    </w:p>
    <w:p w:rsidR="00000000" w:rsidDel="00000000" w:rsidP="00000000" w:rsidRDefault="00000000" w:rsidRPr="00000000" w14:paraId="00000002">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Yukon’s health and safety legislation and Workers' Safety and Compensation Act require employers to post essential information related to workers' rights, employment standards, health, safety, and workers' compensation. By having these postings and information readily available, employers fulfil their responsibility to ensure that workers are aware of their rights and safety procedures.</w:t>
      </w:r>
    </w:p>
    <w:p w:rsidR="00000000" w:rsidDel="00000000" w:rsidP="00000000" w:rsidRDefault="00000000" w:rsidRPr="00000000" w14:paraId="00000003">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All required notices and documents must be posted in conspicuous places that are easily accessible to all employees. They must be maintained in a legible condition and updated regularly to reflect any changes in legislation or workplace policy.</w:t>
      </w:r>
    </w:p>
    <w:p w:rsidR="00000000" w:rsidDel="00000000" w:rsidP="00000000" w:rsidRDefault="00000000" w:rsidRPr="00000000" w14:paraId="00000004">
      <w:pPr>
        <w:spacing w:after="200" w:line="240" w:lineRule="auto"/>
        <w:rPr>
          <w:rFonts w:ascii="Calibri" w:cs="Calibri" w:eastAsia="Calibri" w:hAnsi="Calibri"/>
        </w:rPr>
      </w:pPr>
      <w:r w:rsidDel="00000000" w:rsidR="00000000" w:rsidRPr="00000000">
        <w:rPr>
          <w:rFonts w:ascii="Calibri" w:cs="Calibri" w:eastAsia="Calibri" w:hAnsi="Calibri"/>
          <w:sz w:val="28"/>
          <w:szCs w:val="28"/>
          <w:rtl w:val="0"/>
        </w:rPr>
        <w:t xml:space="preserve">WORKERS' SAFETY AND COMPENSATION ACT</w:t>
      </w:r>
      <w:r w:rsidDel="00000000" w:rsidR="00000000" w:rsidRPr="00000000">
        <w:rPr>
          <w:rtl w:val="0"/>
        </w:rPr>
      </w:r>
    </w:p>
    <w:p w:rsidR="00000000" w:rsidDel="00000000" w:rsidP="00000000" w:rsidRDefault="00000000" w:rsidRPr="00000000" w14:paraId="00000005">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All workplaces covered by the Yukon Workers' Safety And Compensation Act must post the following in a prominent place at the workplace:</w:t>
      </w:r>
    </w:p>
    <w:p w:rsidR="00000000" w:rsidDel="00000000" w:rsidP="00000000" w:rsidRDefault="00000000" w:rsidRPr="00000000" w14:paraId="00000006">
      <w:pPr>
        <w:numPr>
          <w:ilvl w:val="0"/>
          <w:numId w:val="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names of each member of the Joint Health and Safety Committee or the name of the Worker Health and Safety Representative.</w:t>
      </w:r>
    </w:p>
    <w:p w:rsidR="00000000" w:rsidDel="00000000" w:rsidP="00000000" w:rsidRDefault="00000000" w:rsidRPr="00000000" w14:paraId="00000007">
      <w:pPr>
        <w:numPr>
          <w:ilvl w:val="0"/>
          <w:numId w:val="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order or inspection report issued by a safety officer, immediately upon receipt, in a conspicuous place where it is most likely to come to workers’ attention.</w:t>
      </w:r>
    </w:p>
    <w:p w:rsidR="00000000" w:rsidDel="00000000" w:rsidP="00000000" w:rsidRDefault="00000000" w:rsidRPr="00000000" w14:paraId="00000008">
      <w:pPr>
        <w:numPr>
          <w:ilvl w:val="0"/>
          <w:numId w:val="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approved variance from the regulations, posted in a conspicuous place for the full period that the variance is in effect.</w:t>
      </w:r>
    </w:p>
    <w:p w:rsidR="00000000" w:rsidDel="00000000" w:rsidP="00000000" w:rsidRDefault="00000000" w:rsidRPr="00000000" w14:paraId="00000009">
      <w:pPr>
        <w:numPr>
          <w:ilvl w:val="0"/>
          <w:numId w:val="2"/>
        </w:numPr>
        <w:spacing w:after="20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notices that the Yukon Workers’ Compensation Health and Safety Board requires to be posted, in the manner and location directed.</w:t>
      </w:r>
    </w:p>
    <w:p w:rsidR="00000000" w:rsidDel="00000000" w:rsidP="00000000" w:rsidRDefault="00000000" w:rsidRPr="00000000" w14:paraId="0000000A">
      <w:pPr>
        <w:spacing w:after="20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OCCUPATIONAL HEALTH AND SAFETY REGULATIONS </w:t>
      </w:r>
    </w:p>
    <w:p w:rsidR="00000000" w:rsidDel="00000000" w:rsidP="00000000" w:rsidRDefault="00000000" w:rsidRPr="00000000" w14:paraId="0000000B">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All workplaces covered by the Yukon Occupational Health and Safety Regulations made under the Workers' Safety And Compensation Act, 2021 must post the following in a prominent place at the workplace:</w:t>
      </w:r>
    </w:p>
    <w:p w:rsidR="00000000" w:rsidDel="00000000" w:rsidP="00000000" w:rsidRDefault="00000000" w:rsidRPr="00000000" w14:paraId="0000000C">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At each access point to a confined space (where no worker entry is required), a sign or other effective posting describing the nature of the hazard and stating that entry is prohibited.</w:t>
      </w:r>
    </w:p>
    <w:p w:rsidR="00000000" w:rsidDel="00000000" w:rsidP="00000000" w:rsidRDefault="00000000" w:rsidRPr="00000000" w14:paraId="0000000D">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At each point of entry to a confined space, the results of pre-entry testing and inspection.</w:t>
      </w:r>
    </w:p>
    <w:p w:rsidR="00000000" w:rsidDel="00000000" w:rsidP="00000000" w:rsidRDefault="00000000" w:rsidRPr="00000000" w14:paraId="0000000E">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completed, signed checklist identifying machinery or equipment components covered by a group lockout, posted by the appointed competent persons responsible for the lockout.</w:t>
      </w:r>
    </w:p>
    <w:p w:rsidR="00000000" w:rsidDel="00000000" w:rsidP="00000000" w:rsidRDefault="00000000" w:rsidRPr="00000000" w14:paraId="0000000F">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written group lockout procedure, conspicuously posted at the place where the system is in use.</w:t>
      </w:r>
    </w:p>
    <w:p w:rsidR="00000000" w:rsidDel="00000000" w:rsidP="00000000" w:rsidRDefault="00000000" w:rsidRPr="00000000" w14:paraId="00000010">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legible load chart for all cranes, hoisting and lifting devices showing the rated capacity in all permitted working positions and configurations of use.</w:t>
      </w:r>
    </w:p>
    <w:p w:rsidR="00000000" w:rsidDel="00000000" w:rsidP="00000000" w:rsidRDefault="00000000" w:rsidRPr="00000000" w14:paraId="00000011">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Legible warning signs posted in areas where hazardous materials may be dropped, spilled, or dumped.</w:t>
      </w:r>
    </w:p>
    <w:p w:rsidR="00000000" w:rsidDel="00000000" w:rsidP="00000000" w:rsidRDefault="00000000" w:rsidRPr="00000000" w14:paraId="00000012">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first aid posting, in a conspicuous place in the vicinity of the first aid kit or first aid room, stating:</w:t>
      </w:r>
    </w:p>
    <w:p w:rsidR="00000000" w:rsidDel="00000000" w:rsidP="00000000" w:rsidRDefault="00000000" w:rsidRPr="00000000" w14:paraId="00000013">
      <w:pPr>
        <w:numPr>
          <w:ilvl w:val="1"/>
          <w:numId w:val="3"/>
        </w:numP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necessity of promptly reporting all injuries and receiving first aid treatment;</w:t>
      </w:r>
    </w:p>
    <w:p w:rsidR="00000000" w:rsidDel="00000000" w:rsidP="00000000" w:rsidRDefault="00000000" w:rsidRPr="00000000" w14:paraId="00000014">
      <w:pPr>
        <w:numPr>
          <w:ilvl w:val="1"/>
          <w:numId w:val="3"/>
        </w:numP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location of first aid supplies, equipment, and services;</w:t>
      </w:r>
    </w:p>
    <w:p w:rsidR="00000000" w:rsidDel="00000000" w:rsidP="00000000" w:rsidRDefault="00000000" w:rsidRPr="00000000" w14:paraId="00000015">
      <w:pPr>
        <w:numPr>
          <w:ilvl w:val="1"/>
          <w:numId w:val="3"/>
        </w:numP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name of the person in charge of the first aid kit or first aid room;</w:t>
      </w:r>
    </w:p>
    <w:p w:rsidR="00000000" w:rsidDel="00000000" w:rsidP="00000000" w:rsidRDefault="00000000" w:rsidRPr="00000000" w14:paraId="00000016">
      <w:pPr>
        <w:numPr>
          <w:ilvl w:val="1"/>
          <w:numId w:val="3"/>
        </w:numP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name and qualifications of each person trained to administer first aid at the workplace; and</w:t>
      </w:r>
    </w:p>
    <w:p w:rsidR="00000000" w:rsidDel="00000000" w:rsidP="00000000" w:rsidRDefault="00000000" w:rsidRPr="00000000" w14:paraId="00000017">
      <w:pPr>
        <w:numPr>
          <w:ilvl w:val="1"/>
          <w:numId w:val="3"/>
        </w:numPr>
        <w:spacing w:after="20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emergency communication procedure and a telephone list or instructions for reaching the nearest police, ambulance, fire, and medical services.</w:t>
      </w:r>
    </w:p>
    <w:p w:rsidR="00000000" w:rsidDel="00000000" w:rsidP="00000000" w:rsidRDefault="00000000" w:rsidRPr="00000000" w14:paraId="00000018">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200"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TOBACCO AND VAPING PRODUCTS CONTROL AND REGULATION ACT</w:t>
      </w:r>
    </w:p>
    <w:p w:rsidR="00000000" w:rsidDel="00000000" w:rsidP="00000000" w:rsidRDefault="00000000" w:rsidRPr="00000000" w14:paraId="0000001A">
      <w:pPr>
        <w:spacing w:after="20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All workplaces covered by the Tobacco and Vaping Products Control and Regulation Act must post the following in a prominent place at the workplace:</w:t>
      </w:r>
    </w:p>
    <w:p w:rsidR="00000000" w:rsidDel="00000000" w:rsidP="00000000" w:rsidRDefault="00000000" w:rsidRPr="00000000" w14:paraId="0000001B">
      <w:pPr>
        <w:numPr>
          <w:ilvl w:val="0"/>
          <w:numId w:val="4"/>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Signs indicating that smoking is prohibited, continuously displayed in accordance with the regulations, in all areas where smoking is not permitted.</w:t>
      </w:r>
    </w:p>
    <w:p w:rsidR="00000000" w:rsidDel="00000000" w:rsidP="00000000" w:rsidRDefault="00000000" w:rsidRPr="00000000" w14:paraId="0000001C">
      <w:pPr>
        <w:numPr>
          <w:ilvl w:val="0"/>
          <w:numId w:val="4"/>
        </w:numPr>
        <w:spacing w:after="20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Signs indicating that smoking is permitted, continuously displayed in accordance with the regulations, in any designated areas where smoking is allowed under the Act.</w:t>
      </w:r>
    </w:p>
    <w:p w:rsidR="00000000" w:rsidDel="00000000" w:rsidP="00000000" w:rsidRDefault="00000000" w:rsidRPr="00000000" w14:paraId="0000001D">
      <w:pPr>
        <w:spacing w:after="20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WORKPLACE HEALTH REGULATIONS</w:t>
      </w:r>
    </w:p>
    <w:p w:rsidR="00000000" w:rsidDel="00000000" w:rsidP="00000000" w:rsidRDefault="00000000" w:rsidRPr="00000000" w14:paraId="0000001E">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All workplaces covered by the Workplace Health Regulations must post the following in a prominent place at the workplace:</w:t>
      </w:r>
    </w:p>
    <w:p w:rsidR="00000000" w:rsidDel="00000000" w:rsidP="00000000" w:rsidRDefault="00000000" w:rsidRPr="00000000" w14:paraId="0000001F">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Clearly worded warning signs at entrances to, or on the periphery of, areas where workers may be exposed to noise levels above the limits specified in the regulations. The signs must state that a noise hazard exists and describe the protective equipment required.</w:t>
      </w:r>
    </w:p>
    <w:p w:rsidR="00000000" w:rsidDel="00000000" w:rsidP="00000000" w:rsidRDefault="00000000" w:rsidRPr="00000000" w14:paraId="00000020">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Signs clearly identifying cylinders for poisonous gases.</w:t>
      </w:r>
    </w:p>
    <w:p w:rsidR="00000000" w:rsidDel="00000000" w:rsidP="00000000" w:rsidRDefault="00000000" w:rsidRPr="00000000" w14:paraId="00000021">
      <w:pPr>
        <w:numPr>
          <w:ilvl w:val="0"/>
          <w:numId w:val="1"/>
        </w:numPr>
        <w:spacing w:after="20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Signs at all entrances to areas containing poisonous gases, specifying the nature of the danger.</w:t>
      </w:r>
    </w:p>
    <w:p w:rsidR="00000000" w:rsidDel="00000000" w:rsidP="00000000" w:rsidRDefault="00000000" w:rsidRPr="00000000" w14:paraId="00000022">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200" w:line="240" w:lineRule="auto"/>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